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484AA" w14:textId="77777777" w:rsidR="000542F2" w:rsidRDefault="00000000">
      <w:pPr>
        <w:pStyle w:val="Standard"/>
        <w:jc w:val="both"/>
        <w:rPr>
          <w:rFonts w:hint="eastAsia"/>
        </w:rPr>
      </w:pPr>
      <w:r>
        <w:t>Psp – Verbale di Lezione del 26 set. ‘25 di G. Giovannetti</w:t>
      </w:r>
    </w:p>
    <w:p w14:paraId="50025E86" w14:textId="77777777" w:rsidR="000542F2" w:rsidRDefault="00000000">
      <w:pPr>
        <w:pStyle w:val="Standard"/>
        <w:jc w:val="both"/>
        <w:rPr>
          <w:rFonts w:hint="eastAsia"/>
        </w:rPr>
      </w:pPr>
      <w:r>
        <w:t>Redatto da Silvio Berlingieri</w:t>
      </w:r>
    </w:p>
    <w:p w14:paraId="05F122C2" w14:textId="77777777" w:rsidR="000542F2" w:rsidRDefault="000542F2">
      <w:pPr>
        <w:pStyle w:val="Standard"/>
        <w:jc w:val="both"/>
        <w:rPr>
          <w:rFonts w:hint="eastAsia"/>
        </w:rPr>
      </w:pPr>
    </w:p>
    <w:p w14:paraId="0ECF2B6B" w14:textId="77777777" w:rsidR="000542F2" w:rsidRDefault="00000000">
      <w:pPr>
        <w:pStyle w:val="Standard"/>
        <w:jc w:val="both"/>
        <w:rPr>
          <w:rFonts w:hint="eastAsia"/>
        </w:rPr>
      </w:pPr>
      <w:r>
        <w:t xml:space="preserve">Si registra un “rallentamento” del fenomeno della globalizzazione c.d. </w:t>
      </w:r>
      <w:r>
        <w:rPr>
          <w:i/>
          <w:iCs/>
        </w:rPr>
        <w:t>slowbalization (o deglobalizzaizone),</w:t>
      </w:r>
      <w:r>
        <w:t xml:space="preserve"> infatti i dati circa il Pil dall’anno zero mostrano una curva di crescita a partire dalla rivoluzione industriale in poi, dalla distribuzione geografica di tali dati si nota il fenomeno di decrescita della Cina cagionato dalla chiusura dei mercati per la “guerra dell’oppio”, infatti inverte il suo trend quando essa si riapre ai mercati con gli altri Stati.</w:t>
      </w:r>
    </w:p>
    <w:p w14:paraId="3CC17187" w14:textId="77777777" w:rsidR="000542F2" w:rsidRDefault="00000000">
      <w:pPr>
        <w:pStyle w:val="Standard"/>
        <w:jc w:val="both"/>
        <w:rPr>
          <w:rFonts w:hint="eastAsia"/>
        </w:rPr>
      </w:pPr>
      <w:r>
        <w:t xml:space="preserve">I fattori che hanno un ruolo sulla crescita del Pil sono le innovazioni tecnologiche e le politiche commerciali, il rallentamento, invece, corrisponde ad una decrescita del pil ed è causato da politiche protezionistiche: il fenomeno della </w:t>
      </w:r>
      <w:r>
        <w:rPr>
          <w:i/>
          <w:iCs/>
        </w:rPr>
        <w:t>slowbalization</w:t>
      </w:r>
      <w:r>
        <w:t xml:space="preserve"> quindi viene provato storicamente dalle dinamiche altalenanti del PIL.</w:t>
      </w:r>
    </w:p>
    <w:p w14:paraId="642D10B9" w14:textId="77777777" w:rsidR="000542F2" w:rsidRDefault="00000000">
      <w:pPr>
        <w:pStyle w:val="Standard"/>
        <w:jc w:val="both"/>
        <w:rPr>
          <w:rFonts w:hint="eastAsia"/>
        </w:rPr>
      </w:pPr>
      <w:r>
        <w:t>La perdita della forza dell’importanza delle catene di valore e delle importazioni sono fenomeni che non hanno una spiegazione unica e semplice, certo è che il nesso tra la globalizzazione e la crescita è dimostrato dalla serie storica delle frequenze con le quali ad una libertà di commercio, alla nascita di innovazioni è sempre seguito  un significativo un aumento del Pil; tale relazione è confermata anche quanto tali fenomeni macroeconomici sono messi in relazione al pil pro-capite: a minor pil pro-capite corrispondono minori scambi di mercato.</w:t>
      </w:r>
    </w:p>
    <w:p w14:paraId="2FE76A64" w14:textId="77777777" w:rsidR="000542F2" w:rsidRDefault="00000000">
      <w:pPr>
        <w:pStyle w:val="Standard"/>
        <w:jc w:val="both"/>
        <w:rPr>
          <w:rFonts w:hint="eastAsia"/>
        </w:rPr>
      </w:pPr>
      <w:r>
        <w:t>Il ruolo delle catene del valore: alla frammentazione delle fasi produttive in vari paesi corrisponde un aumento di scambi ed è evidentemente utilizzata per diminuire i costi di produzione.</w:t>
      </w:r>
    </w:p>
    <w:p w14:paraId="5BE9485B" w14:textId="77777777" w:rsidR="000542F2" w:rsidRDefault="00000000">
      <w:pPr>
        <w:pStyle w:val="Standard"/>
        <w:jc w:val="both"/>
        <w:rPr>
          <w:rFonts w:hint="eastAsia"/>
          <w:b/>
          <w:bCs/>
        </w:rPr>
      </w:pPr>
      <w:r>
        <w:rPr>
          <w:b/>
          <w:bCs/>
        </w:rPr>
        <w:t>Tale fenomeno funziona se gli intermediari che si occupano degli scambi sono una variabile residuale nel costo complessivo per il completamento di un ciclo produttivo.</w:t>
      </w:r>
    </w:p>
    <w:p w14:paraId="1F89B695" w14:textId="77777777" w:rsidR="000542F2" w:rsidRDefault="00000000">
      <w:pPr>
        <w:pStyle w:val="Standard"/>
        <w:jc w:val="both"/>
        <w:rPr>
          <w:rFonts w:hint="eastAsia"/>
        </w:rPr>
      </w:pPr>
      <w:r>
        <w:t>La pandemia ha imposto una deframmentazione dei processi in quanto l’assenza di scambi ha inibito il completamento del ciclo produttivo in un numero importate di aziende coinvolte in tale fenomeno delle catene di valore.</w:t>
      </w:r>
    </w:p>
    <w:p w14:paraId="012E3EB6" w14:textId="77777777" w:rsidR="000542F2" w:rsidRDefault="00000000">
      <w:pPr>
        <w:pStyle w:val="Standard"/>
        <w:jc w:val="both"/>
        <w:rPr>
          <w:rFonts w:hint="eastAsia"/>
        </w:rPr>
      </w:pPr>
      <w:r>
        <w:t xml:space="preserve">Tanto nell’industria che nel manifatturiero tale tendenza si conferma in ragione dell’aumento dei costi di intermediazione e coordinamento tra paesi lontani, il ruolo dell’intelligenza artificiale e delle stampanti 3d ha significato diverse manifestazioni del fenomeno: </w:t>
      </w:r>
      <w:r>
        <w:rPr>
          <w:i/>
          <w:iCs/>
        </w:rPr>
        <w:t>outsourcing</w:t>
      </w:r>
      <w:r>
        <w:t xml:space="preserve"> e </w:t>
      </w:r>
      <w:r>
        <w:rPr>
          <w:i/>
          <w:iCs/>
        </w:rPr>
        <w:t>outshoring</w:t>
      </w:r>
      <w:r>
        <w:t xml:space="preserve"> ovvero </w:t>
      </w:r>
      <w:r>
        <w:rPr>
          <w:i/>
          <w:iCs/>
        </w:rPr>
        <w:t>insourcing</w:t>
      </w:r>
      <w:r>
        <w:t xml:space="preserve">, </w:t>
      </w:r>
      <w:r>
        <w:rPr>
          <w:i/>
          <w:iCs/>
        </w:rPr>
        <w:t>reshorin</w:t>
      </w:r>
      <w:r>
        <w:t xml:space="preserve"> o </w:t>
      </w:r>
      <w:r>
        <w:rPr>
          <w:i/>
          <w:iCs/>
        </w:rPr>
        <w:t>friendshoring</w:t>
      </w:r>
      <w:r>
        <w:t xml:space="preserve"> o, ancora, </w:t>
      </w:r>
      <w:r>
        <w:rPr>
          <w:i/>
          <w:iCs/>
        </w:rPr>
        <w:t>nearshoring.</w:t>
      </w:r>
    </w:p>
    <w:p w14:paraId="662871A7" w14:textId="77777777" w:rsidR="000542F2" w:rsidRDefault="00000000">
      <w:pPr>
        <w:pStyle w:val="Standard"/>
        <w:jc w:val="both"/>
        <w:rPr>
          <w:rFonts w:hint="eastAsia"/>
          <w:b/>
          <w:bCs/>
        </w:rPr>
      </w:pPr>
      <w:r>
        <w:rPr>
          <w:b/>
          <w:bCs/>
        </w:rPr>
        <w:t>Un’altra chiave di lettura è l’investimento diretto (IDE) legato alle multinazionali: quindi una logica finanziaria nel quale l’investimento è teso alla rendita finanziaria e non all’implementazione produttiva, occupazionale.</w:t>
      </w:r>
    </w:p>
    <w:p w14:paraId="389D13F2" w14:textId="77777777" w:rsidR="000542F2" w:rsidRDefault="00000000">
      <w:pPr>
        <w:pStyle w:val="Standard"/>
        <w:jc w:val="both"/>
        <w:rPr>
          <w:rFonts w:hint="eastAsia"/>
        </w:rPr>
      </w:pPr>
      <w:r>
        <w:t xml:space="preserve">Una ulteriore spiegazione a tale fenomeno di deframmentazione è che tale fenomeno sia stato indotto da una successione di eventi: </w:t>
      </w:r>
      <w:r>
        <w:rPr>
          <w:i/>
          <w:iCs/>
        </w:rPr>
        <w:t>brexit</w:t>
      </w:r>
      <w:r>
        <w:t xml:space="preserve"> e </w:t>
      </w:r>
      <w:r>
        <w:rPr>
          <w:i/>
          <w:iCs/>
        </w:rPr>
        <w:t>trumpismo</w:t>
      </w:r>
      <w:r>
        <w:t xml:space="preserve"> percepiti come definitivi.</w:t>
      </w:r>
    </w:p>
    <w:p w14:paraId="7D130F04" w14:textId="77777777" w:rsidR="000542F2" w:rsidRDefault="00000000">
      <w:pPr>
        <w:pStyle w:val="Standard"/>
        <w:jc w:val="both"/>
        <w:rPr>
          <w:rFonts w:hint="eastAsia"/>
        </w:rPr>
      </w:pPr>
      <w:r>
        <w:t xml:space="preserve">I livelli dei Dazi sono superiori a quelli raggiunti durante la Grande Depressione in prospetiva non profittevoli in termini di concorrenza usa-stati asiatici, svilito il ruolo della </w:t>
      </w:r>
      <w:r>
        <w:rPr>
          <w:i/>
          <w:iCs/>
        </w:rPr>
        <w:t>world trade organization</w:t>
      </w:r>
      <w:r>
        <w:t>: la tendenza quindi sarà una diminuzione dello scambio di beni tra gli Stati  o “Blocchi” di stati con visioni politiche dissimili, problema sentito particolarmente in Toscana si registra un ruolo importantissimo delle esportazioni.</w:t>
      </w:r>
    </w:p>
    <w:p w14:paraId="5F340011" w14:textId="77777777" w:rsidR="000542F2" w:rsidRDefault="000542F2">
      <w:pPr>
        <w:pStyle w:val="Standard"/>
        <w:jc w:val="both"/>
        <w:rPr>
          <w:rFonts w:hint="eastAsia"/>
        </w:rPr>
      </w:pPr>
    </w:p>
    <w:p w14:paraId="68F37081" w14:textId="77777777" w:rsidR="000542F2" w:rsidRDefault="00000000">
      <w:pPr>
        <w:pStyle w:val="Standard"/>
        <w:jc w:val="both"/>
        <w:rPr>
          <w:rFonts w:hint="eastAsia"/>
        </w:rPr>
      </w:pPr>
      <w:r>
        <w:t>Dibattito:</w:t>
      </w:r>
    </w:p>
    <w:p w14:paraId="5E2FE705" w14:textId="77777777" w:rsidR="000542F2" w:rsidRDefault="00000000">
      <w:pPr>
        <w:pStyle w:val="Standard"/>
        <w:jc w:val="both"/>
        <w:rPr>
          <w:rFonts w:hint="eastAsia"/>
        </w:rPr>
      </w:pPr>
      <w:r>
        <w:t>Catizone: viene posto il tema della c.d. “decrescita felice”</w:t>
      </w:r>
    </w:p>
    <w:p w14:paraId="6EBE82B4" w14:textId="77777777" w:rsidR="000542F2" w:rsidRDefault="00000000">
      <w:pPr>
        <w:pStyle w:val="Standard"/>
        <w:jc w:val="both"/>
        <w:rPr>
          <w:rFonts w:hint="eastAsia"/>
        </w:rPr>
      </w:pPr>
      <w:r>
        <w:t>R: rappresenta una necessaria riflessione in relazione ai temi dell’impatto ambientale della produzione ma non come variabile economica soprattutto per la diversità delle norme fra gli stati.</w:t>
      </w:r>
    </w:p>
    <w:p w14:paraId="1DA93611" w14:textId="77777777" w:rsidR="000542F2" w:rsidRDefault="00000000">
      <w:pPr>
        <w:pStyle w:val="Standard"/>
        <w:jc w:val="both"/>
        <w:rPr>
          <w:rFonts w:hint="eastAsia"/>
        </w:rPr>
      </w:pPr>
      <w:r>
        <w:t>Faticanti: quale ruolo della finanza in questi effetti negativi sull’economia? Nella dicotomia tra capitale finanziario e produttivo il primo pare avere un ruolo negativo.</w:t>
      </w:r>
    </w:p>
    <w:p w14:paraId="7F8BFB9F" w14:textId="77777777" w:rsidR="000542F2" w:rsidRDefault="00000000">
      <w:pPr>
        <w:pStyle w:val="Standard"/>
        <w:jc w:val="both"/>
        <w:rPr>
          <w:rFonts w:hint="eastAsia"/>
        </w:rPr>
      </w:pPr>
      <w:r>
        <w:t>R: mi sono occupata della parte reale, sulla parte finanziaria dovremmo approfondire su un incontro successivo. Le politiche italiane non hanno gli strumenti per dare una risposta, esiste un conflitto di competenze tra gli stati e la UE.</w:t>
      </w:r>
    </w:p>
    <w:p w14:paraId="3840ED9C" w14:textId="77777777" w:rsidR="000542F2" w:rsidRDefault="00000000">
      <w:pPr>
        <w:pStyle w:val="Standard"/>
        <w:jc w:val="both"/>
        <w:rPr>
          <w:rFonts w:hint="eastAsia"/>
        </w:rPr>
      </w:pPr>
      <w:r>
        <w:t>Scalia: la debolezza delle politiche della UE come si coniuga con il ruolo della WTO per proteggere gli effetti delle politiche selvagge? La globalizzazione non ha assunto elementi di equità sociale.</w:t>
      </w:r>
    </w:p>
    <w:p w14:paraId="2DE85443" w14:textId="77777777" w:rsidR="000542F2" w:rsidRDefault="00000000">
      <w:pPr>
        <w:pStyle w:val="Standard"/>
        <w:jc w:val="both"/>
        <w:rPr>
          <w:rFonts w:hint="eastAsia"/>
        </w:rPr>
      </w:pPr>
      <w:r>
        <w:lastRenderedPageBreak/>
        <w:t>Per quanto riguarda il wto è necessario farlo funzionare in carenza di accordi multilaterali, è necessario non screditare una istituzione indipendente.</w:t>
      </w:r>
    </w:p>
    <w:p w14:paraId="44F558F8" w14:textId="77777777" w:rsidR="000542F2" w:rsidRDefault="00000000">
      <w:pPr>
        <w:pStyle w:val="Standard"/>
        <w:jc w:val="both"/>
        <w:rPr>
          <w:rFonts w:hint="eastAsia"/>
        </w:rPr>
      </w:pPr>
      <w:r>
        <w:t>La globalizzazione ha ridotto le disuguaglianze tra paesi ma le ha aumentate dentro i paesi. È mancato il governo, sono mancate le politiche sociali dei singoli paesi.</w:t>
      </w:r>
    </w:p>
    <w:p w14:paraId="1362F8A4" w14:textId="77777777" w:rsidR="000542F2" w:rsidRDefault="00000000">
      <w:pPr>
        <w:pStyle w:val="Standard"/>
        <w:jc w:val="both"/>
        <w:rPr>
          <w:rFonts w:hint="eastAsia"/>
        </w:rPr>
      </w:pPr>
      <w:r>
        <w:t>Mia domanda: come è possibile bilanciare il potere politico di stato contro stato se non esistono elementi di bilanciamento riconosciuti come cogenti da tutti gli stati e non tra blocchi simili?</w:t>
      </w:r>
    </w:p>
    <w:p w14:paraId="56E9572F" w14:textId="77777777" w:rsidR="000542F2" w:rsidRDefault="00000000">
      <w:pPr>
        <w:pStyle w:val="Standard"/>
        <w:jc w:val="both"/>
        <w:rPr>
          <w:rFonts w:hint="eastAsia"/>
        </w:rPr>
      </w:pPr>
      <w:r>
        <w:t>Serve, è necessario ma non vedo una soluzione per questo problema. Nei settori strategici posso essere un ingrediente da utilizzare convengo ma penso sia impossibile.</w:t>
      </w:r>
    </w:p>
    <w:p w14:paraId="50C29B56" w14:textId="77777777" w:rsidR="000542F2" w:rsidRDefault="000542F2">
      <w:pPr>
        <w:pStyle w:val="Standard"/>
        <w:jc w:val="both"/>
        <w:rPr>
          <w:rFonts w:hint="eastAsia"/>
        </w:rPr>
      </w:pPr>
    </w:p>
    <w:p w14:paraId="54CE1658" w14:textId="77777777" w:rsidR="000542F2" w:rsidRDefault="000542F2">
      <w:pPr>
        <w:pStyle w:val="Standard"/>
        <w:jc w:val="both"/>
        <w:rPr>
          <w:rFonts w:hint="eastAsia"/>
        </w:rPr>
      </w:pPr>
    </w:p>
    <w:p w14:paraId="013C2196" w14:textId="77777777" w:rsidR="000542F2" w:rsidRDefault="000542F2">
      <w:pPr>
        <w:pStyle w:val="Standard"/>
        <w:jc w:val="both"/>
        <w:rPr>
          <w:rFonts w:hint="eastAsia"/>
        </w:rPr>
      </w:pPr>
    </w:p>
    <w:p w14:paraId="7AE13561" w14:textId="77777777" w:rsidR="000542F2" w:rsidRDefault="00000000">
      <w:pPr>
        <w:pStyle w:val="Standard"/>
        <w:jc w:val="both"/>
        <w:rPr>
          <w:rFonts w:hint="eastAsia"/>
        </w:rPr>
      </w:pPr>
      <w:r>
        <w:t>Conclusioni di Furio Cerutti: cina e globalizzazione, l’uscita della cina dall’isolamento fu originata da una scelta politica e non economica. Processo che ha aumentato la diseguaglianza interna ma che ha tirato fuori dalla povertà assoluta mezzo milione di contadini che vivevano nella povertà assoluta. La critica alla globalizzazione ha innescato il populismo.</w:t>
      </w:r>
    </w:p>
    <w:p w14:paraId="2CC9CBCB" w14:textId="77777777" w:rsidR="000542F2" w:rsidRDefault="000542F2">
      <w:pPr>
        <w:pStyle w:val="Standard"/>
        <w:jc w:val="both"/>
        <w:rPr>
          <w:rFonts w:hint="eastAsia"/>
        </w:rPr>
      </w:pPr>
    </w:p>
    <w:p w14:paraId="549BEBDC" w14:textId="77777777" w:rsidR="000542F2" w:rsidRDefault="00000000">
      <w:pPr>
        <w:pStyle w:val="Standard"/>
        <w:jc w:val="both"/>
        <w:rPr>
          <w:rFonts w:hint="eastAsia"/>
        </w:rPr>
      </w:pPr>
      <w:r>
        <w:t>Seminario: viene illustrato il contenuto del libro “l’altra storia del sindacato. Dal secondo dopoguerra agli anni di Industry 4.0” le posizioni assunte da bianchi e bresciani hanno riassunto un profondo divario conoscitivo tra gli addetti ai lavori ed il mondo esterno. Mentre da un punto di vista sindacale ci si chiede quali siano le opportunità e le modalità di aggiornare il fare sindacale e di converso si chiede l’apertura del mondo sindacale a chi non è del settore in quanto le occasioni di frequentare il sindacato siano residuali per la frammentazione del lavoro. Viene posto il tema dallo scrivente se la crisi del sindacato odierno sia dipeso in tutto od in parte dal peso sostenuto solo dal sindacato di redistribuire la ricchezza scaturente dalla globalizzazione, ruolo assolto fino a che questo fenomeno ha persistito a produrre ricchezza da redistribuire.</w:t>
      </w:r>
    </w:p>
    <w:p w14:paraId="7CB42AD7" w14:textId="77777777" w:rsidR="000542F2" w:rsidRDefault="00000000">
      <w:pPr>
        <w:pStyle w:val="Standard"/>
        <w:jc w:val="both"/>
        <w:rPr>
          <w:rFonts w:hint="eastAsia"/>
        </w:rPr>
      </w:pPr>
      <w:fldSimple w:instr=" DOCPROPERTY CharactersWithSpaces\* UPPER ">
        <w:r>
          <w:t>5996</w:t>
        </w:r>
      </w:fldSimple>
    </w:p>
    <w:p w14:paraId="26DC64BB" w14:textId="77777777" w:rsidR="000542F2" w:rsidRDefault="000542F2">
      <w:pPr>
        <w:pStyle w:val="Standard"/>
        <w:jc w:val="both"/>
        <w:rPr>
          <w:rFonts w:hint="eastAsia"/>
        </w:rPr>
      </w:pPr>
    </w:p>
    <w:p w14:paraId="70111FB0" w14:textId="77777777" w:rsidR="000542F2" w:rsidRDefault="000542F2">
      <w:pPr>
        <w:pStyle w:val="Standard"/>
        <w:jc w:val="both"/>
        <w:rPr>
          <w:rFonts w:hint="eastAsia"/>
        </w:rPr>
      </w:pPr>
    </w:p>
    <w:p w14:paraId="5BF9A742" w14:textId="77777777" w:rsidR="000542F2" w:rsidRDefault="000542F2">
      <w:pPr>
        <w:pStyle w:val="Standard"/>
        <w:jc w:val="both"/>
        <w:rPr>
          <w:rFonts w:hint="eastAsia"/>
        </w:rPr>
      </w:pPr>
    </w:p>
    <w:p w14:paraId="139286A4" w14:textId="77777777" w:rsidR="000542F2" w:rsidRDefault="000542F2">
      <w:pPr>
        <w:pStyle w:val="Standard"/>
        <w:jc w:val="both"/>
        <w:rPr>
          <w:rFonts w:hint="eastAsia"/>
        </w:rPr>
      </w:pPr>
    </w:p>
    <w:p w14:paraId="7743F81F" w14:textId="77777777" w:rsidR="000542F2" w:rsidRDefault="000542F2">
      <w:pPr>
        <w:pStyle w:val="Standard"/>
        <w:jc w:val="both"/>
        <w:rPr>
          <w:rFonts w:hint="eastAsia"/>
        </w:rPr>
      </w:pPr>
    </w:p>
    <w:p w14:paraId="0592C676" w14:textId="77777777" w:rsidR="000542F2" w:rsidRDefault="000542F2">
      <w:pPr>
        <w:pStyle w:val="Standard"/>
        <w:jc w:val="both"/>
        <w:rPr>
          <w:rFonts w:hint="eastAsia"/>
        </w:rPr>
      </w:pPr>
    </w:p>
    <w:p w14:paraId="6AD44075" w14:textId="77777777" w:rsidR="000542F2" w:rsidRDefault="000542F2">
      <w:pPr>
        <w:pStyle w:val="Standard"/>
        <w:jc w:val="both"/>
        <w:rPr>
          <w:rFonts w:hint="eastAsia"/>
        </w:rPr>
      </w:pPr>
    </w:p>
    <w:p w14:paraId="6BB9AD0E" w14:textId="77777777" w:rsidR="000542F2" w:rsidRDefault="000542F2">
      <w:pPr>
        <w:pStyle w:val="Standard"/>
        <w:jc w:val="both"/>
        <w:rPr>
          <w:rFonts w:hint="eastAsia"/>
        </w:rPr>
      </w:pPr>
    </w:p>
    <w:p w14:paraId="4D30E926" w14:textId="77777777" w:rsidR="000542F2" w:rsidRDefault="000542F2">
      <w:pPr>
        <w:pStyle w:val="Standard"/>
        <w:jc w:val="both"/>
        <w:rPr>
          <w:rFonts w:hint="eastAsia"/>
        </w:rPr>
      </w:pPr>
    </w:p>
    <w:p w14:paraId="686D2268" w14:textId="77777777" w:rsidR="000542F2" w:rsidRDefault="000542F2">
      <w:pPr>
        <w:pStyle w:val="Standard"/>
        <w:jc w:val="both"/>
        <w:rPr>
          <w:rFonts w:hint="eastAsia"/>
        </w:rPr>
      </w:pPr>
    </w:p>
    <w:sectPr w:rsidR="000542F2">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E89E" w14:textId="77777777" w:rsidR="00264354" w:rsidRDefault="00264354">
      <w:pPr>
        <w:rPr>
          <w:rFonts w:hint="eastAsia"/>
        </w:rPr>
      </w:pPr>
      <w:r>
        <w:separator/>
      </w:r>
    </w:p>
  </w:endnote>
  <w:endnote w:type="continuationSeparator" w:id="0">
    <w:p w14:paraId="09A21934" w14:textId="77777777" w:rsidR="00264354" w:rsidRDefault="0026435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C8A0C" w14:textId="77777777" w:rsidR="00264354" w:rsidRDefault="00264354">
      <w:pPr>
        <w:rPr>
          <w:rFonts w:hint="eastAsia"/>
        </w:rPr>
      </w:pPr>
      <w:r>
        <w:rPr>
          <w:color w:val="000000"/>
        </w:rPr>
        <w:separator/>
      </w:r>
    </w:p>
  </w:footnote>
  <w:footnote w:type="continuationSeparator" w:id="0">
    <w:p w14:paraId="277E80A9" w14:textId="77777777" w:rsidR="00264354" w:rsidRDefault="0026435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542F2"/>
    <w:rsid w:val="000542F2"/>
    <w:rsid w:val="00264354"/>
    <w:rsid w:val="00E072EF"/>
    <w:rsid w:val="00EB0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33F857"/>
  <w15:docId w15:val="{EB3D1706-CFE9-0A49-BD30-3AB4B9B4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it-IT"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764</Words>
  <Characters>5315</Characters>
  <Application>Microsoft Office Word</Application>
  <DocSecurity>0</DocSecurity>
  <Lines>126</Lines>
  <Paragraphs>57</Paragraphs>
  <ScaleCrop>false</ScaleCrop>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VENTURA, RAFFAELE</cp:lastModifiedBy>
  <cp:revision>2</cp:revision>
  <dcterms:created xsi:type="dcterms:W3CDTF">2025-10-28T12:27:00Z</dcterms:created>
  <dcterms:modified xsi:type="dcterms:W3CDTF">2025-10-28T12:27:00Z</dcterms:modified>
</cp:coreProperties>
</file>